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5838A" w14:textId="4DDC9C41" w:rsidR="00E03D74" w:rsidRDefault="00E03D74" w:rsidP="00005B31">
      <w:pPr>
        <w:spacing w:line="300" w:lineRule="exact"/>
        <w:jc w:val="center"/>
        <w:rPr>
          <w:rFonts w:eastAsia="標楷體"/>
          <w:b/>
          <w:color w:val="000000" w:themeColor="text1"/>
          <w:spacing w:val="-8"/>
          <w:sz w:val="28"/>
          <w:szCs w:val="27"/>
        </w:rPr>
      </w:pPr>
      <w:r w:rsidRPr="00E03D74">
        <w:rPr>
          <w:rFonts w:eastAsia="標楷體" w:hint="eastAsia"/>
          <w:b/>
          <w:color w:val="000000" w:themeColor="text1"/>
          <w:spacing w:val="-8"/>
          <w:sz w:val="28"/>
          <w:szCs w:val="27"/>
        </w:rPr>
        <w:t>運用英語進行多領域學習－本土雙語教育模式之建構與推廣</w:t>
      </w:r>
    </w:p>
    <w:p w14:paraId="5B128109" w14:textId="2361E152" w:rsidR="00E51AA9" w:rsidRPr="008E7C92" w:rsidRDefault="00E03D74" w:rsidP="00005B31">
      <w:pPr>
        <w:spacing w:line="300" w:lineRule="exact"/>
        <w:jc w:val="center"/>
        <w:rPr>
          <w:rFonts w:eastAsia="標楷體"/>
          <w:b/>
          <w:color w:val="000000" w:themeColor="text1"/>
          <w:spacing w:val="-8"/>
          <w:sz w:val="22"/>
          <w:szCs w:val="22"/>
        </w:rPr>
      </w:pPr>
      <w:r w:rsidRPr="00E03D74">
        <w:rPr>
          <w:rFonts w:eastAsia="標楷體"/>
          <w:b/>
          <w:color w:val="000000" w:themeColor="text1"/>
          <w:spacing w:val="-8"/>
          <w:sz w:val="22"/>
          <w:szCs w:val="22"/>
        </w:rPr>
        <w:t>Applying English to Learn Multiple Subjects: Localizing Bilingual Education Models in Primary and Secondary Schools</w:t>
      </w:r>
    </w:p>
    <w:p w14:paraId="6FED2A2E" w14:textId="20C4708D" w:rsidR="00E51AA9" w:rsidRDefault="00E51AA9" w:rsidP="00F27E60">
      <w:pPr>
        <w:spacing w:line="240" w:lineRule="auto"/>
        <w:jc w:val="center"/>
        <w:rPr>
          <w:rFonts w:eastAsia="標楷體"/>
          <w:b/>
          <w:color w:val="000000" w:themeColor="text1"/>
          <w:sz w:val="52"/>
          <w:szCs w:val="24"/>
        </w:rPr>
      </w:pPr>
      <w:r w:rsidRPr="008E7C92">
        <w:rPr>
          <w:rFonts w:eastAsia="標楷體"/>
          <w:b/>
          <w:color w:val="000000" w:themeColor="text1"/>
          <w:sz w:val="52"/>
          <w:szCs w:val="24"/>
        </w:rPr>
        <w:t>雙語課程</w:t>
      </w:r>
      <w:proofErr w:type="gramStart"/>
      <w:r w:rsidRPr="008E7C92">
        <w:rPr>
          <w:rFonts w:eastAsia="標楷體"/>
          <w:b/>
          <w:color w:val="000000" w:themeColor="text1"/>
          <w:sz w:val="52"/>
          <w:szCs w:val="24"/>
        </w:rPr>
        <w:t>說觀議課</w:t>
      </w:r>
      <w:proofErr w:type="gramEnd"/>
      <w:r w:rsidRPr="008E7C92">
        <w:rPr>
          <w:rFonts w:eastAsia="標楷體"/>
          <w:b/>
          <w:color w:val="000000" w:themeColor="text1"/>
          <w:sz w:val="52"/>
          <w:szCs w:val="24"/>
        </w:rPr>
        <w:t>紀錄表</w:t>
      </w:r>
      <w:r w:rsidRPr="008E7C92">
        <w:rPr>
          <w:rFonts w:eastAsia="標楷體"/>
          <w:b/>
          <w:color w:val="000000" w:themeColor="text1"/>
          <w:sz w:val="52"/>
          <w:szCs w:val="24"/>
        </w:rPr>
        <w:t>_A</w:t>
      </w:r>
      <w:r w:rsidRPr="008E7C92">
        <w:rPr>
          <w:rFonts w:eastAsia="標楷體"/>
          <w:b/>
          <w:color w:val="000000" w:themeColor="text1"/>
          <w:sz w:val="52"/>
          <w:szCs w:val="24"/>
        </w:rPr>
        <w:t>版</w:t>
      </w:r>
    </w:p>
    <w:p w14:paraId="2B1E9BEE" w14:textId="6DDB6EF1" w:rsidR="00E03D74" w:rsidRPr="00E03D74" w:rsidRDefault="00E03D74" w:rsidP="00F27E60">
      <w:pPr>
        <w:spacing w:line="240" w:lineRule="auto"/>
        <w:jc w:val="center"/>
        <w:rPr>
          <w:rFonts w:eastAsia="標楷體"/>
          <w:b/>
          <w:color w:val="000000" w:themeColor="text1"/>
          <w:sz w:val="22"/>
          <w:szCs w:val="22"/>
        </w:rPr>
      </w:pPr>
      <w:r w:rsidRPr="008E7C92">
        <w:rPr>
          <w:rFonts w:eastAsia="標楷體"/>
          <w:b/>
          <w:color w:val="000000" w:themeColor="text1"/>
          <w:szCs w:val="24"/>
        </w:rPr>
        <w:t>Record of Pre-Class Discussion, Class Observation, and Post-Class Discussion (Version A)</w:t>
      </w:r>
    </w:p>
    <w:tbl>
      <w:tblPr>
        <w:tblStyle w:val="a5"/>
        <w:tblW w:w="5110" w:type="pct"/>
        <w:tblLayout w:type="fixed"/>
        <w:tblLook w:val="04A0" w:firstRow="1" w:lastRow="0" w:firstColumn="1" w:lastColumn="0" w:noHBand="0" w:noVBand="1"/>
      </w:tblPr>
      <w:tblGrid>
        <w:gridCol w:w="1308"/>
        <w:gridCol w:w="1682"/>
        <w:gridCol w:w="1498"/>
        <w:gridCol w:w="1274"/>
        <w:gridCol w:w="1028"/>
        <w:gridCol w:w="1201"/>
        <w:gridCol w:w="2695"/>
      </w:tblGrid>
      <w:tr w:rsidR="005166BB" w:rsidRPr="008E7C92" w14:paraId="465F8FBF" w14:textId="77777777" w:rsidTr="005208B7">
        <w:trPr>
          <w:trHeight w:val="715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4B86" w14:textId="7F3DF7C0" w:rsidR="005166BB" w:rsidRPr="008E7C92" w:rsidRDefault="005166BB" w:rsidP="005166BB">
            <w:pPr>
              <w:spacing w:line="3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E7C92">
              <w:rPr>
                <w:rFonts w:eastAsia="標楷體"/>
                <w:b/>
                <w:color w:val="000000" w:themeColor="text1"/>
                <w:szCs w:val="24"/>
              </w:rPr>
              <w:t>授課進度</w:t>
            </w:r>
            <w:r>
              <w:rPr>
                <w:rFonts w:eastAsia="標楷體"/>
                <w:b/>
                <w:color w:val="000000" w:themeColor="text1"/>
                <w:szCs w:val="24"/>
              </w:rPr>
              <w:br/>
            </w:r>
            <w:r w:rsidRPr="006D1AE7">
              <w:rPr>
                <w:rFonts w:eastAsia="標楷體"/>
                <w:b/>
                <w:color w:val="000000" w:themeColor="text1"/>
                <w:sz w:val="20"/>
              </w:rPr>
              <w:t>Course Content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3287" w14:textId="40E84AE7" w:rsidR="005166BB" w:rsidRPr="008E7C92" w:rsidRDefault="005166BB" w:rsidP="007C4D8F">
            <w:pPr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7458" w14:textId="77777777" w:rsidR="005166BB" w:rsidRPr="008E7C92" w:rsidRDefault="005166BB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E7C92">
              <w:rPr>
                <w:rFonts w:eastAsia="標楷體"/>
                <w:b/>
                <w:color w:val="000000" w:themeColor="text1"/>
                <w:szCs w:val="24"/>
              </w:rPr>
              <w:t>授課教師</w:t>
            </w:r>
          </w:p>
          <w:p w14:paraId="730E319E" w14:textId="43124986" w:rsidR="005166BB" w:rsidRPr="006D1AE7" w:rsidRDefault="005166BB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6D1AE7">
              <w:rPr>
                <w:rFonts w:eastAsia="標楷體"/>
                <w:b/>
                <w:color w:val="000000" w:themeColor="text1"/>
                <w:sz w:val="20"/>
              </w:rPr>
              <w:t>Instructor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6CAB" w14:textId="77777777" w:rsidR="005166BB" w:rsidRPr="008E7C92" w:rsidRDefault="005166BB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3B17C2" w:rsidRPr="008E7C92" w14:paraId="0F1A66AA" w14:textId="77777777" w:rsidTr="003B17C2">
        <w:trPr>
          <w:trHeight w:val="217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C5B9" w14:textId="2F70FE5B" w:rsidR="005166BB" w:rsidRPr="008E7C92" w:rsidRDefault="005166BB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E7C92">
              <w:rPr>
                <w:rFonts w:eastAsia="標楷體"/>
                <w:b/>
                <w:color w:val="000000" w:themeColor="text1"/>
                <w:szCs w:val="24"/>
              </w:rPr>
              <w:t>教案</w:t>
            </w:r>
            <w:r w:rsidRPr="008E7C92">
              <w:rPr>
                <w:rFonts w:eastAsia="標楷體" w:hint="eastAsia"/>
                <w:b/>
                <w:color w:val="000000" w:themeColor="text1"/>
                <w:szCs w:val="24"/>
              </w:rPr>
              <w:t>設計</w:t>
            </w:r>
            <w:r w:rsidRPr="008E7C92">
              <w:rPr>
                <w:rFonts w:eastAsia="標楷體"/>
                <w:b/>
                <w:color w:val="000000" w:themeColor="text1"/>
                <w:szCs w:val="24"/>
              </w:rPr>
              <w:t>者</w:t>
            </w:r>
            <w:r>
              <w:rPr>
                <w:rFonts w:eastAsia="標楷體"/>
                <w:b/>
                <w:color w:val="000000" w:themeColor="text1"/>
                <w:szCs w:val="24"/>
              </w:rPr>
              <w:br/>
            </w:r>
            <w:r w:rsidRPr="006D1AE7">
              <w:rPr>
                <w:rFonts w:eastAsia="標楷體"/>
                <w:b/>
                <w:color w:val="000000" w:themeColor="text1"/>
                <w:sz w:val="20"/>
              </w:rPr>
              <w:t>Lesson Designer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AA4A" w14:textId="6469C94F" w:rsidR="005166BB" w:rsidRPr="008E7C92" w:rsidRDefault="005166BB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4DD4" w14:textId="77777777" w:rsidR="005166BB" w:rsidRPr="008E7C92" w:rsidRDefault="005166BB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proofErr w:type="gramStart"/>
            <w:r w:rsidRPr="008E7C92">
              <w:rPr>
                <w:rFonts w:eastAsia="標楷體"/>
                <w:b/>
                <w:color w:val="000000" w:themeColor="text1"/>
                <w:szCs w:val="24"/>
              </w:rPr>
              <w:t>觀課時間</w:t>
            </w:r>
            <w:proofErr w:type="gramEnd"/>
            <w:r w:rsidRPr="008E7C92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</w:p>
          <w:p w14:paraId="6A71C4C7" w14:textId="235731FB" w:rsidR="005166BB" w:rsidRPr="006D1AE7" w:rsidRDefault="005166BB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BE26D9">
              <w:rPr>
                <w:rFonts w:eastAsia="標楷體"/>
                <w:b/>
                <w:color w:val="000000" w:themeColor="text1"/>
                <w:sz w:val="20"/>
              </w:rPr>
              <w:t>Observation</w:t>
            </w:r>
            <w:r w:rsidRPr="00BE26D9">
              <w:rPr>
                <w:rFonts w:eastAsia="標楷體" w:hint="eastAsia"/>
                <w:b/>
                <w:color w:val="000000" w:themeColor="text1"/>
                <w:sz w:val="20"/>
              </w:rPr>
              <w:t xml:space="preserve"> </w:t>
            </w:r>
            <w:r w:rsidRPr="00BE26D9">
              <w:rPr>
                <w:rFonts w:eastAsia="標楷體"/>
                <w:b/>
                <w:color w:val="000000" w:themeColor="text1"/>
                <w:sz w:val="20"/>
              </w:rPr>
              <w:t>Time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F5B7" w14:textId="77777777" w:rsidR="005166BB" w:rsidRPr="008E7C92" w:rsidRDefault="005166BB" w:rsidP="007C4D8F">
            <w:pPr>
              <w:spacing w:line="300" w:lineRule="exact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24C8" w14:textId="25027364" w:rsidR="005166BB" w:rsidRPr="008E7C92" w:rsidRDefault="005166BB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proofErr w:type="gramStart"/>
            <w:r w:rsidRPr="008E7C92">
              <w:rPr>
                <w:rFonts w:eastAsia="標楷體"/>
                <w:b/>
                <w:color w:val="000000" w:themeColor="text1"/>
                <w:szCs w:val="24"/>
              </w:rPr>
              <w:t>觀課教師</w:t>
            </w:r>
            <w:proofErr w:type="gramEnd"/>
            <w:r w:rsidRPr="006D1AE7">
              <w:rPr>
                <w:rFonts w:eastAsia="標楷體"/>
                <w:b/>
                <w:color w:val="000000" w:themeColor="text1"/>
                <w:sz w:val="20"/>
              </w:rPr>
              <w:t>Observ</w:t>
            </w:r>
            <w:r>
              <w:rPr>
                <w:rFonts w:eastAsia="標楷體"/>
                <w:b/>
                <w:color w:val="000000" w:themeColor="text1"/>
                <w:sz w:val="20"/>
              </w:rPr>
              <w:t>er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C214" w14:textId="77777777" w:rsidR="005166BB" w:rsidRPr="008E7C92" w:rsidRDefault="005166BB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8E7C92" w:rsidRPr="008E7C92" w14:paraId="471DAF0D" w14:textId="77777777" w:rsidTr="000A258B">
        <w:trPr>
          <w:trHeight w:val="667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FD37" w14:textId="77777777" w:rsidR="008E7C92" w:rsidRPr="008E7C92" w:rsidRDefault="00E51AA9" w:rsidP="007C4D8F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proofErr w:type="gramStart"/>
            <w:r w:rsidRPr="008E7C92">
              <w:rPr>
                <w:rFonts w:eastAsia="標楷體"/>
                <w:b/>
                <w:color w:val="000000" w:themeColor="text1"/>
                <w:szCs w:val="24"/>
              </w:rPr>
              <w:t>觀課面向</w:t>
            </w:r>
            <w:proofErr w:type="gramEnd"/>
            <w:r w:rsidR="00BF0430" w:rsidRPr="008E7C92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</w:p>
          <w:p w14:paraId="02E142BB" w14:textId="67CA9BF5" w:rsidR="00E51AA9" w:rsidRPr="006D1AE7" w:rsidRDefault="00BF0430" w:rsidP="007C4D8F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6D1AE7">
              <w:rPr>
                <w:rFonts w:eastAsia="標楷體"/>
                <w:b/>
                <w:color w:val="000000" w:themeColor="text1"/>
                <w:sz w:val="20"/>
              </w:rPr>
              <w:t>Dimensions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9DD7" w14:textId="77777777" w:rsidR="008E7C92" w:rsidRPr="008E7C92" w:rsidRDefault="00E51AA9" w:rsidP="007C4D8F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E7C92">
              <w:rPr>
                <w:rFonts w:eastAsia="標楷體"/>
                <w:b/>
                <w:color w:val="000000" w:themeColor="text1"/>
                <w:szCs w:val="24"/>
              </w:rPr>
              <w:t>觀察重點</w:t>
            </w:r>
            <w:r w:rsidR="00BF0430" w:rsidRPr="008E7C92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</w:p>
          <w:p w14:paraId="16C9B18A" w14:textId="2E821AB0" w:rsidR="00E51AA9" w:rsidRPr="006D1AE7" w:rsidRDefault="00AB5779" w:rsidP="007C4D8F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6D1AE7">
              <w:rPr>
                <w:rFonts w:eastAsia="標楷體"/>
                <w:b/>
                <w:color w:val="000000" w:themeColor="text1"/>
                <w:sz w:val="20"/>
              </w:rPr>
              <w:t>Observation Focus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21B7" w14:textId="77777777" w:rsidR="008E7C92" w:rsidRPr="008E7C92" w:rsidRDefault="00E51AA9" w:rsidP="007C4D8F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E7C92">
              <w:rPr>
                <w:rFonts w:eastAsia="標楷體"/>
                <w:b/>
                <w:color w:val="000000" w:themeColor="text1"/>
                <w:szCs w:val="24"/>
              </w:rPr>
              <w:t>優點特色或建議</w:t>
            </w:r>
            <w:r w:rsidR="00AF18A3" w:rsidRPr="008E7C92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</w:p>
          <w:p w14:paraId="52ACB80D" w14:textId="14E591EE" w:rsidR="00E51AA9" w:rsidRPr="006D1AE7" w:rsidRDefault="00AB5779" w:rsidP="007C4D8F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6D1AE7">
              <w:rPr>
                <w:rFonts w:eastAsia="標楷體"/>
                <w:b/>
                <w:color w:val="000000" w:themeColor="text1"/>
                <w:sz w:val="20"/>
              </w:rPr>
              <w:t>Strengths</w:t>
            </w:r>
            <w:r w:rsidR="00AF18A3" w:rsidRPr="006D1AE7">
              <w:rPr>
                <w:rFonts w:eastAsia="標楷體"/>
                <w:b/>
                <w:color w:val="000000" w:themeColor="text1"/>
                <w:sz w:val="20"/>
              </w:rPr>
              <w:t>, Characteristics, or Suggestions</w:t>
            </w:r>
          </w:p>
        </w:tc>
      </w:tr>
      <w:tr w:rsidR="008E7C92" w:rsidRPr="008E7C92" w14:paraId="23694E8E" w14:textId="77777777" w:rsidTr="003B17C2">
        <w:trPr>
          <w:trHeight w:val="3218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636CA" w14:textId="77777777" w:rsidR="008E7C92" w:rsidRPr="008E7C92" w:rsidRDefault="00E51AA9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E7C92">
              <w:rPr>
                <w:rFonts w:eastAsia="標楷體"/>
                <w:b/>
                <w:color w:val="000000" w:themeColor="text1"/>
                <w:szCs w:val="24"/>
              </w:rPr>
              <w:t>說課</w:t>
            </w:r>
          </w:p>
          <w:p w14:paraId="58D167E1" w14:textId="14306382" w:rsidR="00E51AA9" w:rsidRPr="006D1AE7" w:rsidRDefault="00BF0430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6D1AE7">
              <w:rPr>
                <w:rFonts w:eastAsia="標楷體" w:hint="eastAsia"/>
                <w:b/>
                <w:color w:val="000000" w:themeColor="text1"/>
                <w:sz w:val="20"/>
              </w:rPr>
              <w:t>P</w:t>
            </w:r>
            <w:r w:rsidRPr="006D1AE7">
              <w:rPr>
                <w:rFonts w:eastAsia="標楷體"/>
                <w:b/>
                <w:color w:val="000000" w:themeColor="text1"/>
                <w:sz w:val="20"/>
              </w:rPr>
              <w:t>re-Class Discussion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AFAA0" w14:textId="139B3499" w:rsidR="00E51AA9" w:rsidRPr="008E7C92" w:rsidRDefault="00E51AA9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E7C92">
              <w:rPr>
                <w:rFonts w:eastAsia="標楷體"/>
                <w:b/>
                <w:color w:val="000000" w:themeColor="text1"/>
                <w:szCs w:val="24"/>
              </w:rPr>
              <w:t>課程內容</w:t>
            </w:r>
            <w:r w:rsidR="00295ACA" w:rsidRPr="006D1AE7">
              <w:rPr>
                <w:rFonts w:eastAsia="標楷體"/>
                <w:b/>
                <w:color w:val="000000" w:themeColor="text1"/>
                <w:sz w:val="20"/>
              </w:rPr>
              <w:t>Content</w:t>
            </w:r>
            <w:r w:rsidR="00463F9A" w:rsidRPr="006D1AE7">
              <w:rPr>
                <w:rFonts w:eastAsia="標楷體"/>
                <w:b/>
                <w:color w:val="000000" w:themeColor="text1"/>
                <w:sz w:val="20"/>
              </w:rPr>
              <w:t xml:space="preserve"> of the Lesson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DCECE" w14:textId="4BD9092D" w:rsidR="00E51AA9" w:rsidRPr="00BE26D9" w:rsidRDefault="00E51AA9" w:rsidP="005A5905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218" w:hanging="218"/>
              <w:rPr>
                <w:rFonts w:eastAsia="標楷體"/>
                <w:color w:val="000000" w:themeColor="text1"/>
              </w:rPr>
            </w:pPr>
            <w:r w:rsidRPr="008E7C92">
              <w:rPr>
                <w:rFonts w:eastAsia="標楷體"/>
                <w:color w:val="000000" w:themeColor="text1"/>
              </w:rPr>
              <w:t>學科教學內容的選擇</w:t>
            </w:r>
            <w:r w:rsidR="00BE26D9">
              <w:rPr>
                <w:rFonts w:eastAsia="標楷體"/>
                <w:color w:val="000000" w:themeColor="text1"/>
              </w:rPr>
              <w:br/>
            </w:r>
            <w:r w:rsidR="00295ACA" w:rsidRPr="00BE26D9">
              <w:rPr>
                <w:rFonts w:eastAsia="標楷體"/>
                <w:color w:val="000000" w:themeColor="text1"/>
                <w:sz w:val="20"/>
              </w:rPr>
              <w:t>Content selection</w:t>
            </w:r>
          </w:p>
          <w:p w14:paraId="16B35FEC" w14:textId="4B0F29B1" w:rsidR="00E51AA9" w:rsidRPr="00BE26D9" w:rsidRDefault="00E51AA9" w:rsidP="005A5905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218" w:hanging="218"/>
              <w:rPr>
                <w:rFonts w:eastAsia="標楷體"/>
                <w:color w:val="000000" w:themeColor="text1"/>
              </w:rPr>
            </w:pPr>
            <w:r w:rsidRPr="008E7C92">
              <w:rPr>
                <w:rFonts w:eastAsia="標楷體"/>
                <w:color w:val="000000" w:themeColor="text1"/>
              </w:rPr>
              <w:t>學科教學內容的呈現方式</w:t>
            </w:r>
            <w:r w:rsidR="003B17C2">
              <w:rPr>
                <w:rFonts w:eastAsia="標楷體"/>
                <w:color w:val="000000" w:themeColor="text1"/>
              </w:rPr>
              <w:br/>
            </w:r>
            <w:r w:rsidR="00295ACA" w:rsidRPr="00BE26D9">
              <w:rPr>
                <w:rFonts w:eastAsia="標楷體"/>
                <w:color w:val="000000" w:themeColor="text1"/>
                <w:sz w:val="20"/>
              </w:rPr>
              <w:t>Content presentation</w:t>
            </w:r>
          </w:p>
          <w:p w14:paraId="7A73A537" w14:textId="6DC1201F" w:rsidR="00E51AA9" w:rsidRPr="00BE26D9" w:rsidRDefault="00E51AA9" w:rsidP="005208B7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 w:left="215" w:hanging="215"/>
              <w:rPr>
                <w:rFonts w:eastAsia="標楷體"/>
                <w:color w:val="000000" w:themeColor="text1"/>
              </w:rPr>
            </w:pPr>
            <w:r w:rsidRPr="008E7C92">
              <w:rPr>
                <w:rFonts w:eastAsia="標楷體"/>
                <w:color w:val="000000" w:themeColor="text1"/>
              </w:rPr>
              <w:t>教學</w:t>
            </w:r>
            <w:proofErr w:type="gramStart"/>
            <w:r w:rsidRPr="008E7C92">
              <w:rPr>
                <w:rFonts w:eastAsia="標楷體"/>
                <w:color w:val="000000" w:themeColor="text1"/>
              </w:rPr>
              <w:t>（</w:t>
            </w:r>
            <w:proofErr w:type="gramEnd"/>
            <w:r w:rsidRPr="008E7C92">
              <w:rPr>
                <w:rFonts w:eastAsia="標楷體"/>
                <w:color w:val="000000" w:themeColor="text1"/>
              </w:rPr>
              <w:t>雙語：中、英語</w:t>
            </w:r>
            <w:proofErr w:type="gramStart"/>
            <w:r w:rsidRPr="008E7C92">
              <w:rPr>
                <w:rFonts w:eastAsia="標楷體"/>
                <w:color w:val="000000" w:themeColor="text1"/>
              </w:rPr>
              <w:t>）</w:t>
            </w:r>
            <w:proofErr w:type="gramEnd"/>
            <w:r w:rsidRPr="008E7C92">
              <w:rPr>
                <w:rFonts w:eastAsia="標楷體"/>
                <w:color w:val="000000" w:themeColor="text1"/>
              </w:rPr>
              <w:t>語言使用之規劃</w:t>
            </w:r>
            <w:r w:rsidR="00BE26D9">
              <w:rPr>
                <w:rFonts w:eastAsia="標楷體"/>
                <w:color w:val="000000" w:themeColor="text1"/>
              </w:rPr>
              <w:br/>
            </w:r>
            <w:bookmarkStart w:id="0" w:name="_GoBack"/>
            <w:r w:rsidR="00295ACA" w:rsidRPr="00BE26D9">
              <w:rPr>
                <w:rFonts w:eastAsia="標楷體"/>
                <w:color w:val="000000" w:themeColor="text1"/>
                <w:sz w:val="20"/>
              </w:rPr>
              <w:t xml:space="preserve">Language planning and use of </w:t>
            </w:r>
            <w:r w:rsidR="00AF18A3" w:rsidRPr="00BE26D9">
              <w:rPr>
                <w:rFonts w:eastAsia="標楷體"/>
                <w:color w:val="000000" w:themeColor="text1"/>
                <w:sz w:val="20"/>
              </w:rPr>
              <w:t>Chinese and English</w:t>
            </w:r>
            <w:bookmarkEnd w:id="0"/>
          </w:p>
          <w:p w14:paraId="41962FEF" w14:textId="7598DC11" w:rsidR="00E51AA9" w:rsidRPr="00BE26D9" w:rsidRDefault="008E7C92" w:rsidP="005A5905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218" w:hanging="218"/>
              <w:rPr>
                <w:rFonts w:eastAsia="標楷體"/>
                <w:color w:val="000000" w:themeColor="text1"/>
              </w:rPr>
            </w:pPr>
            <w:r w:rsidRPr="008E7C92">
              <w:rPr>
                <w:rFonts w:eastAsia="標楷體"/>
                <w:color w:val="000000" w:themeColor="text1"/>
              </w:rPr>
              <w:t>雙語教學內容組</w:t>
            </w:r>
            <w:r w:rsidR="00BA2AA0">
              <w:rPr>
                <w:rFonts w:eastAsia="標楷體" w:hint="eastAsia"/>
                <w:color w:val="000000" w:themeColor="text1"/>
              </w:rPr>
              <w:t>織</w:t>
            </w:r>
            <w:r w:rsidR="00BE26D9">
              <w:rPr>
                <w:rFonts w:eastAsia="標楷體"/>
                <w:color w:val="000000" w:themeColor="text1"/>
              </w:rPr>
              <w:br/>
            </w:r>
            <w:r w:rsidR="003A5BFA" w:rsidRPr="00BE26D9">
              <w:rPr>
                <w:rFonts w:eastAsia="標楷體"/>
                <w:color w:val="000000" w:themeColor="text1"/>
                <w:sz w:val="20"/>
              </w:rPr>
              <w:t>Bilingual lesson organization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AE87" w14:textId="77777777" w:rsidR="00E51AA9" w:rsidRPr="008E7C92" w:rsidRDefault="00E51AA9" w:rsidP="008E7C92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E7C92" w:rsidRPr="008E7C92" w14:paraId="1ACB88A7" w14:textId="77777777" w:rsidTr="000A258B">
        <w:trPr>
          <w:trHeight w:val="2792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D5E2E" w14:textId="33128D08" w:rsidR="00181EC7" w:rsidRPr="008E7C92" w:rsidRDefault="00E51AA9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E7C92">
              <w:rPr>
                <w:rFonts w:eastAsia="標楷體"/>
                <w:b/>
                <w:color w:val="000000" w:themeColor="text1"/>
                <w:szCs w:val="24"/>
              </w:rPr>
              <w:t>觀課</w:t>
            </w:r>
          </w:p>
          <w:p w14:paraId="19F76B70" w14:textId="34B501A8" w:rsidR="00E51AA9" w:rsidRPr="006D1AE7" w:rsidRDefault="00BF0430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6D1AE7">
              <w:rPr>
                <w:rFonts w:eastAsia="標楷體"/>
                <w:b/>
                <w:color w:val="000000" w:themeColor="text1"/>
                <w:sz w:val="20"/>
              </w:rPr>
              <w:t>Class Observation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3CA0" w14:textId="4AE0054A" w:rsidR="008E7C92" w:rsidRPr="008E7C92" w:rsidRDefault="00E51AA9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E7C92">
              <w:rPr>
                <w:rFonts w:eastAsia="標楷體"/>
                <w:b/>
                <w:color w:val="000000" w:themeColor="text1"/>
                <w:szCs w:val="24"/>
              </w:rPr>
              <w:t>學習情境營造</w:t>
            </w:r>
          </w:p>
          <w:p w14:paraId="43E176F6" w14:textId="3ECBC44B" w:rsidR="00E51AA9" w:rsidRPr="006D1AE7" w:rsidRDefault="00155FB1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6D1AE7">
              <w:rPr>
                <w:rFonts w:eastAsia="標楷體"/>
                <w:b/>
                <w:color w:val="000000" w:themeColor="text1"/>
                <w:sz w:val="20"/>
              </w:rPr>
              <w:t>Learning Environment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9BF3" w14:textId="1B2318F2" w:rsidR="00E51AA9" w:rsidRPr="00BE26D9" w:rsidRDefault="00E51AA9" w:rsidP="005208B7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 w:left="215" w:hanging="215"/>
              <w:rPr>
                <w:rFonts w:eastAsia="標楷體"/>
                <w:color w:val="000000" w:themeColor="text1"/>
              </w:rPr>
            </w:pPr>
            <w:r w:rsidRPr="008E7C92">
              <w:rPr>
                <w:rFonts w:eastAsia="標楷體"/>
                <w:color w:val="000000" w:themeColor="text1"/>
              </w:rPr>
              <w:t>學習氛圍友善支持、利於學習發生</w:t>
            </w:r>
            <w:r w:rsidR="00BE26D9">
              <w:rPr>
                <w:rFonts w:eastAsia="標楷體"/>
                <w:color w:val="000000" w:themeColor="text1"/>
              </w:rPr>
              <w:br/>
            </w:r>
            <w:r w:rsidR="00262E8E" w:rsidRPr="00BE26D9">
              <w:rPr>
                <w:rFonts w:eastAsia="標楷體"/>
                <w:color w:val="000000" w:themeColor="text1"/>
                <w:sz w:val="20"/>
              </w:rPr>
              <w:t>The environment is supportive for learning.</w:t>
            </w:r>
          </w:p>
          <w:p w14:paraId="2874984A" w14:textId="36ABFE9C" w:rsidR="00E51AA9" w:rsidRPr="00BE26D9" w:rsidRDefault="00E51AA9" w:rsidP="005208B7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 w:left="215" w:hanging="215"/>
              <w:rPr>
                <w:rFonts w:eastAsia="標楷體"/>
                <w:color w:val="000000" w:themeColor="text1"/>
              </w:rPr>
            </w:pPr>
            <w:r w:rsidRPr="008E7C92">
              <w:rPr>
                <w:rFonts w:eastAsia="標楷體"/>
                <w:color w:val="000000" w:themeColor="text1"/>
              </w:rPr>
              <w:t>具備正向、支持性的師生關係</w:t>
            </w:r>
            <w:r w:rsidR="00BE26D9">
              <w:rPr>
                <w:rFonts w:eastAsia="標楷體"/>
                <w:color w:val="000000" w:themeColor="text1"/>
              </w:rPr>
              <w:br/>
            </w:r>
            <w:r w:rsidR="00A466C7" w:rsidRPr="00BE26D9">
              <w:rPr>
                <w:rFonts w:eastAsia="標楷體"/>
                <w:color w:val="000000" w:themeColor="text1"/>
                <w:sz w:val="20"/>
              </w:rPr>
              <w:t>The teacher-student relationship is positive and supportive</w:t>
            </w:r>
          </w:p>
          <w:p w14:paraId="1EA2B6AF" w14:textId="77777777" w:rsidR="005208B7" w:rsidRDefault="00E51AA9" w:rsidP="005A5905">
            <w:pPr>
              <w:pStyle w:val="a3"/>
              <w:numPr>
                <w:ilvl w:val="0"/>
                <w:numId w:val="6"/>
              </w:numPr>
              <w:spacing w:line="300" w:lineRule="exact"/>
              <w:ind w:leftChars="0" w:left="218" w:hanging="218"/>
              <w:rPr>
                <w:rFonts w:eastAsia="標楷體"/>
                <w:color w:val="000000" w:themeColor="text1"/>
              </w:rPr>
            </w:pPr>
            <w:r w:rsidRPr="008E7C92">
              <w:rPr>
                <w:rFonts w:eastAsia="標楷體"/>
                <w:color w:val="000000" w:themeColor="text1"/>
              </w:rPr>
              <w:t>具備和諧、友善的同儕關係</w:t>
            </w:r>
          </w:p>
          <w:p w14:paraId="1C030EA6" w14:textId="18C6D33E" w:rsidR="00E51AA9" w:rsidRPr="00BE26D9" w:rsidRDefault="00155FB1" w:rsidP="005208B7">
            <w:pPr>
              <w:pStyle w:val="a3"/>
              <w:spacing w:line="300" w:lineRule="exact"/>
              <w:ind w:leftChars="0" w:left="218"/>
              <w:rPr>
                <w:rFonts w:eastAsia="標楷體"/>
                <w:color w:val="000000" w:themeColor="text1"/>
              </w:rPr>
            </w:pPr>
            <w:r w:rsidRPr="00BE26D9">
              <w:rPr>
                <w:rFonts w:eastAsia="標楷體"/>
                <w:color w:val="000000" w:themeColor="text1"/>
                <w:sz w:val="20"/>
              </w:rPr>
              <w:t xml:space="preserve">Peer interaction is friendly and </w:t>
            </w:r>
            <w:r w:rsidR="00FC00AC" w:rsidRPr="00BE26D9">
              <w:rPr>
                <w:rFonts w:eastAsia="標楷體"/>
                <w:color w:val="000000" w:themeColor="text1"/>
                <w:sz w:val="20"/>
              </w:rPr>
              <w:t>a</w:t>
            </w:r>
            <w:r w:rsidRPr="00BE26D9">
              <w:rPr>
                <w:rFonts w:eastAsia="標楷體"/>
                <w:color w:val="000000" w:themeColor="text1"/>
                <w:sz w:val="20"/>
              </w:rPr>
              <w:t>micable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BFE3" w14:textId="77777777" w:rsidR="00E51AA9" w:rsidRPr="008E7C92" w:rsidRDefault="00E51AA9" w:rsidP="007C4D8F">
            <w:pPr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</w:p>
          <w:p w14:paraId="40AF292D" w14:textId="77777777" w:rsidR="00E51AA9" w:rsidRPr="008E7C92" w:rsidRDefault="00E51AA9" w:rsidP="007C4D8F">
            <w:pPr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A5905" w:rsidRPr="008E7C92" w14:paraId="045ED56F" w14:textId="77777777" w:rsidTr="00E849FA">
        <w:trPr>
          <w:trHeight w:val="4592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C9677" w14:textId="77777777" w:rsidR="005A5905" w:rsidRPr="008E7C92" w:rsidRDefault="005A5905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2462" w14:textId="4352E36E" w:rsidR="005A5905" w:rsidRPr="008E7C92" w:rsidRDefault="005A5905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E7C92">
              <w:rPr>
                <w:rFonts w:eastAsia="標楷體"/>
                <w:b/>
                <w:color w:val="000000" w:themeColor="text1"/>
                <w:szCs w:val="24"/>
              </w:rPr>
              <w:t>教師教學情形</w:t>
            </w:r>
            <w:r w:rsidRPr="008E7C92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  <w:r w:rsidRPr="006D1AE7">
              <w:rPr>
                <w:rFonts w:eastAsia="標楷體"/>
                <w:b/>
                <w:color w:val="000000" w:themeColor="text1"/>
                <w:sz w:val="20"/>
              </w:rPr>
              <w:t>Teaching Condition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2C33" w14:textId="1820AE0E" w:rsidR="005A5905" w:rsidRPr="00BE26D9" w:rsidRDefault="005A5905" w:rsidP="005208B7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 w:left="215" w:hanging="215"/>
              <w:rPr>
                <w:rFonts w:eastAsia="標楷體"/>
                <w:color w:val="000000" w:themeColor="text1"/>
              </w:rPr>
            </w:pPr>
            <w:r w:rsidRPr="008E7C92">
              <w:rPr>
                <w:rFonts w:eastAsia="標楷體"/>
                <w:color w:val="000000" w:themeColor="text1"/>
              </w:rPr>
              <w:t>雙語教學活動流程適當及流暢度</w:t>
            </w:r>
            <w:r w:rsidRPr="00BE26D9">
              <w:rPr>
                <w:rFonts w:eastAsia="標楷體"/>
                <w:color w:val="000000" w:themeColor="text1"/>
                <w:sz w:val="20"/>
              </w:rPr>
              <w:t>The instruction is well timed and confidently executed.</w:t>
            </w:r>
          </w:p>
          <w:p w14:paraId="350C33C3" w14:textId="77777777" w:rsidR="005A5905" w:rsidRPr="003B17C2" w:rsidRDefault="005A5905" w:rsidP="005208B7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 w:left="215" w:hanging="215"/>
              <w:rPr>
                <w:rFonts w:eastAsia="標楷體"/>
                <w:color w:val="000000" w:themeColor="text1"/>
              </w:rPr>
            </w:pPr>
            <w:r w:rsidRPr="008E7C92">
              <w:rPr>
                <w:rFonts w:eastAsia="標楷體"/>
                <w:color w:val="000000" w:themeColor="text1"/>
              </w:rPr>
              <w:t>運用教學方法以達成雙語授課的狀況</w:t>
            </w:r>
            <w:r>
              <w:rPr>
                <w:rFonts w:eastAsia="標楷體"/>
                <w:color w:val="000000" w:themeColor="text1"/>
              </w:rPr>
              <w:br/>
            </w:r>
            <w:r w:rsidRPr="00BE26D9">
              <w:rPr>
                <w:rFonts w:eastAsia="標楷體"/>
                <w:color w:val="000000" w:themeColor="text1"/>
                <w:sz w:val="20"/>
              </w:rPr>
              <w:t>The appropriate approaches to teaching are selected for the context.</w:t>
            </w:r>
          </w:p>
          <w:p w14:paraId="36F16C37" w14:textId="0A1F431F" w:rsidR="003B17C2" w:rsidRPr="003B17C2" w:rsidRDefault="003B17C2" w:rsidP="005208B7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 w:left="215" w:hanging="215"/>
              <w:rPr>
                <w:rFonts w:eastAsia="標楷體"/>
                <w:color w:val="000000" w:themeColor="text1"/>
              </w:rPr>
            </w:pPr>
            <w:r w:rsidRPr="008E7C92">
              <w:rPr>
                <w:rFonts w:eastAsia="標楷體"/>
                <w:color w:val="000000" w:themeColor="text1"/>
              </w:rPr>
              <w:t>運用教學策略以進行雙語活動的狀況</w:t>
            </w:r>
            <w:r w:rsidR="00712E43">
              <w:rPr>
                <w:rFonts w:eastAsia="標楷體"/>
                <w:color w:val="000000" w:themeColor="text1"/>
              </w:rPr>
              <w:br/>
            </w:r>
            <w:r w:rsidRPr="00BE26D9">
              <w:rPr>
                <w:rFonts w:eastAsia="標楷體"/>
                <w:color w:val="000000" w:themeColor="text1"/>
                <w:sz w:val="20"/>
              </w:rPr>
              <w:t>The appropriate teaching strategies are utilized for the context.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3EB0" w14:textId="77777777" w:rsidR="005A5905" w:rsidRPr="008E7C92" w:rsidRDefault="005A5905" w:rsidP="007C4D8F">
            <w:pPr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E7C92" w:rsidRPr="008E7C92" w14:paraId="5EBA0EEC" w14:textId="77777777" w:rsidTr="005208B7">
        <w:trPr>
          <w:trHeight w:val="5384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63853" w14:textId="77777777" w:rsidR="00E51AA9" w:rsidRPr="008E7C92" w:rsidRDefault="00E51AA9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0D5" w14:textId="5F76F8DC" w:rsidR="00E51AA9" w:rsidRPr="008E7C92" w:rsidRDefault="00E51AA9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E7C92">
              <w:rPr>
                <w:rFonts w:eastAsia="標楷體"/>
                <w:b/>
                <w:color w:val="000000" w:themeColor="text1"/>
                <w:szCs w:val="24"/>
              </w:rPr>
              <w:t>教師教學情形</w:t>
            </w:r>
            <w:r w:rsidR="0023036A" w:rsidRPr="008E7C92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  <w:r w:rsidR="00463F9A" w:rsidRPr="006D1AE7">
              <w:rPr>
                <w:rFonts w:eastAsia="標楷體"/>
                <w:b/>
                <w:color w:val="000000" w:themeColor="text1"/>
                <w:sz w:val="20"/>
              </w:rPr>
              <w:t>Teaching Condition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01990" w14:textId="1096F01B" w:rsidR="00E51AA9" w:rsidRPr="00A04E89" w:rsidRDefault="00E51AA9" w:rsidP="005208B7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 w:left="215" w:hanging="215"/>
              <w:rPr>
                <w:rFonts w:eastAsia="標楷體"/>
                <w:color w:val="000000" w:themeColor="text1"/>
              </w:rPr>
            </w:pPr>
            <w:r w:rsidRPr="008E7C92">
              <w:rPr>
                <w:rFonts w:eastAsia="標楷體"/>
                <w:color w:val="000000" w:themeColor="text1"/>
              </w:rPr>
              <w:t>雙語教學活動對引發學生學習動機的狀況</w:t>
            </w:r>
            <w:r w:rsidR="00A04E89">
              <w:rPr>
                <w:rFonts w:eastAsia="標楷體"/>
                <w:color w:val="000000" w:themeColor="text1"/>
              </w:rPr>
              <w:br/>
            </w:r>
            <w:r w:rsidR="000C6B42" w:rsidRPr="00A04E89">
              <w:rPr>
                <w:rFonts w:eastAsia="標楷體"/>
                <w:color w:val="000000" w:themeColor="text1"/>
                <w:sz w:val="20"/>
              </w:rPr>
              <w:t>The bilingual teaching activities are motivating and effective for student learning</w:t>
            </w:r>
            <w:r w:rsidR="001D2B0F" w:rsidRPr="00A04E89">
              <w:rPr>
                <w:rFonts w:eastAsia="標楷體"/>
                <w:color w:val="000000" w:themeColor="text1"/>
                <w:sz w:val="20"/>
              </w:rPr>
              <w:t>.</w:t>
            </w:r>
          </w:p>
          <w:p w14:paraId="7CA19B93" w14:textId="108672BF" w:rsidR="00E51AA9" w:rsidRPr="00A04E89" w:rsidRDefault="00E51AA9" w:rsidP="005208B7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 w:left="215" w:hanging="215"/>
              <w:rPr>
                <w:rFonts w:eastAsia="標楷體"/>
                <w:color w:val="000000" w:themeColor="text1"/>
              </w:rPr>
            </w:pPr>
            <w:r w:rsidRPr="008E7C92">
              <w:rPr>
                <w:rFonts w:eastAsia="標楷體"/>
                <w:color w:val="000000" w:themeColor="text1"/>
              </w:rPr>
              <w:t>教師對學生學習（學科與雙語部分）之關照</w:t>
            </w:r>
            <w:r w:rsidR="00A04E89">
              <w:rPr>
                <w:rFonts w:eastAsia="標楷體"/>
                <w:color w:val="000000" w:themeColor="text1"/>
              </w:rPr>
              <w:br/>
            </w:r>
            <w:r w:rsidR="003D3BAD" w:rsidRPr="00A04E89">
              <w:rPr>
                <w:rFonts w:eastAsia="標楷體"/>
                <w:color w:val="000000" w:themeColor="text1"/>
                <w:sz w:val="20"/>
              </w:rPr>
              <w:t>The teacher monitors student learning (content and bilingual development)</w:t>
            </w:r>
            <w:r w:rsidR="001D2B0F" w:rsidRPr="00A04E89">
              <w:rPr>
                <w:rFonts w:eastAsia="標楷體"/>
                <w:color w:val="000000" w:themeColor="text1"/>
                <w:sz w:val="20"/>
              </w:rPr>
              <w:t>.</w:t>
            </w:r>
          </w:p>
          <w:p w14:paraId="5EDA56C1" w14:textId="200AA09F" w:rsidR="00E51AA9" w:rsidRPr="00A04E89" w:rsidRDefault="00E51AA9" w:rsidP="005208B7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 w:left="215" w:hanging="215"/>
              <w:rPr>
                <w:rFonts w:eastAsia="標楷體"/>
                <w:color w:val="000000" w:themeColor="text1"/>
              </w:rPr>
            </w:pPr>
            <w:r w:rsidRPr="008E7C92">
              <w:rPr>
                <w:rFonts w:eastAsia="標楷體"/>
                <w:color w:val="000000" w:themeColor="text1"/>
              </w:rPr>
              <w:t>教師之應變能力</w:t>
            </w:r>
            <w:r w:rsidR="00A04E89">
              <w:rPr>
                <w:rFonts w:eastAsia="標楷體"/>
                <w:color w:val="000000" w:themeColor="text1"/>
              </w:rPr>
              <w:br/>
            </w:r>
            <w:r w:rsidR="001D2B0F" w:rsidRPr="00A04E89">
              <w:rPr>
                <w:rFonts w:eastAsia="標楷體"/>
                <w:color w:val="000000" w:themeColor="text1"/>
                <w:sz w:val="20"/>
              </w:rPr>
              <w:t>The teacher is flexible and adapts the lesson appropriately.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09CB" w14:textId="77777777" w:rsidR="00E51AA9" w:rsidRPr="008E7C92" w:rsidRDefault="00E51AA9" w:rsidP="007C4D8F">
            <w:pPr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</w:p>
          <w:p w14:paraId="0267AF3B" w14:textId="77777777" w:rsidR="00E51AA9" w:rsidRPr="008E7C92" w:rsidRDefault="00E51AA9" w:rsidP="007C4D8F">
            <w:pPr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E7C92" w:rsidRPr="008E7C92" w14:paraId="0CE537F7" w14:textId="77777777" w:rsidTr="003B17C2">
        <w:trPr>
          <w:trHeight w:val="4082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B5F30" w14:textId="77777777" w:rsidR="00E51AA9" w:rsidRPr="008E7C92" w:rsidRDefault="00E51AA9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93FA" w14:textId="1E9D38C8" w:rsidR="00181EC7" w:rsidRPr="008E7C92" w:rsidRDefault="00E51AA9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E7C92">
              <w:rPr>
                <w:rFonts w:eastAsia="標楷體"/>
                <w:b/>
                <w:color w:val="000000" w:themeColor="text1"/>
                <w:szCs w:val="24"/>
              </w:rPr>
              <w:t>學生歷程表現</w:t>
            </w:r>
          </w:p>
          <w:p w14:paraId="54DF6AAF" w14:textId="3EFFA292" w:rsidR="00E51AA9" w:rsidRPr="006D1AE7" w:rsidRDefault="000611EC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6D1AE7">
              <w:rPr>
                <w:rFonts w:eastAsia="標楷體" w:hint="eastAsia"/>
                <w:b/>
                <w:color w:val="000000" w:themeColor="text1"/>
                <w:sz w:val="20"/>
              </w:rPr>
              <w:t>S</w:t>
            </w:r>
            <w:r w:rsidRPr="006D1AE7">
              <w:rPr>
                <w:rFonts w:eastAsia="標楷體"/>
                <w:b/>
                <w:color w:val="000000" w:themeColor="text1"/>
                <w:sz w:val="20"/>
              </w:rPr>
              <w:t>tudent Performance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CA8E6" w14:textId="022C5CF4" w:rsidR="00E51AA9" w:rsidRPr="006575B9" w:rsidRDefault="00E51AA9" w:rsidP="005208B7">
            <w:pPr>
              <w:pStyle w:val="a3"/>
              <w:numPr>
                <w:ilvl w:val="0"/>
                <w:numId w:val="8"/>
              </w:numPr>
              <w:snapToGrid w:val="0"/>
              <w:spacing w:line="240" w:lineRule="atLeast"/>
              <w:ind w:leftChars="0" w:left="215" w:hanging="215"/>
              <w:rPr>
                <w:rFonts w:eastAsia="標楷體"/>
                <w:color w:val="000000" w:themeColor="text1"/>
              </w:rPr>
            </w:pPr>
            <w:r w:rsidRPr="008E7C92">
              <w:rPr>
                <w:rFonts w:eastAsia="標楷體"/>
                <w:color w:val="000000" w:themeColor="text1"/>
              </w:rPr>
              <w:t>學生雙語發言或討論的狀況</w:t>
            </w:r>
            <w:r w:rsidR="008E7C92" w:rsidRPr="008E7C92">
              <w:rPr>
                <w:rFonts w:eastAsia="標楷體"/>
                <w:color w:val="000000" w:themeColor="text1"/>
              </w:rPr>
              <w:t xml:space="preserve"> </w:t>
            </w:r>
            <w:r w:rsidR="00734954" w:rsidRPr="006575B9">
              <w:rPr>
                <w:rFonts w:eastAsia="標楷體"/>
                <w:color w:val="000000" w:themeColor="text1"/>
                <w:sz w:val="20"/>
              </w:rPr>
              <w:t>Observations regarding student language use and discussion</w:t>
            </w:r>
          </w:p>
          <w:p w14:paraId="72B8338D" w14:textId="274870BB" w:rsidR="00E51AA9" w:rsidRPr="006575B9" w:rsidRDefault="00E51AA9" w:rsidP="005208B7">
            <w:pPr>
              <w:pStyle w:val="a3"/>
              <w:numPr>
                <w:ilvl w:val="0"/>
                <w:numId w:val="8"/>
              </w:numPr>
              <w:snapToGrid w:val="0"/>
              <w:spacing w:line="240" w:lineRule="atLeast"/>
              <w:ind w:leftChars="0" w:left="215" w:hanging="215"/>
              <w:rPr>
                <w:rFonts w:eastAsia="標楷體"/>
                <w:color w:val="000000" w:themeColor="text1"/>
              </w:rPr>
            </w:pPr>
            <w:r w:rsidRPr="008E7C92">
              <w:rPr>
                <w:rFonts w:eastAsia="標楷體"/>
                <w:color w:val="000000" w:themeColor="text1"/>
              </w:rPr>
              <w:t>學生對雙語學習的投入狀況</w:t>
            </w:r>
            <w:r w:rsidR="00E82AED" w:rsidRPr="008E7C92">
              <w:rPr>
                <w:rFonts w:eastAsia="標楷體" w:hint="eastAsia"/>
                <w:color w:val="000000" w:themeColor="text1"/>
              </w:rPr>
              <w:t xml:space="preserve"> </w:t>
            </w:r>
            <w:r w:rsidR="00734954" w:rsidRPr="006575B9">
              <w:rPr>
                <w:rFonts w:eastAsia="標楷體"/>
                <w:color w:val="000000" w:themeColor="text1"/>
                <w:sz w:val="20"/>
              </w:rPr>
              <w:t>Observations regarding s</w:t>
            </w:r>
            <w:r w:rsidR="009D06A9" w:rsidRPr="006575B9">
              <w:rPr>
                <w:rFonts w:eastAsia="標楷體"/>
                <w:color w:val="000000" w:themeColor="text1"/>
                <w:sz w:val="20"/>
              </w:rPr>
              <w:t>tudent investment in bilingual learning</w:t>
            </w:r>
            <w:r w:rsidR="00E82AED" w:rsidRPr="006575B9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  <w:p w14:paraId="1F9EAAAD" w14:textId="69B97113" w:rsidR="00E51AA9" w:rsidRPr="006575B9" w:rsidRDefault="00E51AA9" w:rsidP="005208B7">
            <w:pPr>
              <w:pStyle w:val="a3"/>
              <w:numPr>
                <w:ilvl w:val="0"/>
                <w:numId w:val="8"/>
              </w:numPr>
              <w:snapToGrid w:val="0"/>
              <w:spacing w:line="240" w:lineRule="atLeast"/>
              <w:ind w:leftChars="0" w:left="215" w:hanging="215"/>
              <w:rPr>
                <w:rFonts w:eastAsia="標楷體"/>
                <w:color w:val="000000" w:themeColor="text1"/>
              </w:rPr>
            </w:pPr>
            <w:r w:rsidRPr="008E7C92">
              <w:rPr>
                <w:rFonts w:eastAsia="標楷體"/>
                <w:color w:val="000000" w:themeColor="text1"/>
              </w:rPr>
              <w:t>學生對雙語學習困難的解決情況（或對雙語授課的反應）</w:t>
            </w:r>
            <w:r w:rsidR="006575B9">
              <w:rPr>
                <w:rFonts w:eastAsia="標楷體"/>
                <w:color w:val="000000" w:themeColor="text1"/>
              </w:rPr>
              <w:br/>
            </w:r>
            <w:r w:rsidR="00734954" w:rsidRPr="006575B9">
              <w:rPr>
                <w:rFonts w:eastAsia="標楷體"/>
                <w:color w:val="000000" w:themeColor="text1"/>
                <w:sz w:val="20"/>
              </w:rPr>
              <w:t>Observations regarding s</w:t>
            </w:r>
            <w:r w:rsidR="00E96A7E" w:rsidRPr="006575B9">
              <w:rPr>
                <w:rFonts w:eastAsia="標楷體"/>
                <w:color w:val="000000" w:themeColor="text1"/>
                <w:sz w:val="20"/>
              </w:rPr>
              <w:t>tudent resilience in bilingual lessons (or student response to bilingual teaching)</w:t>
            </w:r>
          </w:p>
          <w:p w14:paraId="25066B77" w14:textId="34A7C5E7" w:rsidR="00E51AA9" w:rsidRPr="006575B9" w:rsidRDefault="00E51AA9" w:rsidP="005208B7">
            <w:pPr>
              <w:pStyle w:val="a3"/>
              <w:numPr>
                <w:ilvl w:val="0"/>
                <w:numId w:val="8"/>
              </w:numPr>
              <w:snapToGrid w:val="0"/>
              <w:spacing w:line="240" w:lineRule="exact"/>
              <w:ind w:leftChars="0" w:left="215" w:hanging="215"/>
              <w:rPr>
                <w:rFonts w:eastAsia="標楷體"/>
                <w:color w:val="000000" w:themeColor="text1"/>
              </w:rPr>
            </w:pPr>
            <w:r w:rsidRPr="008E7C92">
              <w:rPr>
                <w:rFonts w:eastAsia="標楷體"/>
                <w:color w:val="000000" w:themeColor="text1"/>
              </w:rPr>
              <w:t>學習成果與教學目標之關聯性</w:t>
            </w:r>
            <w:r w:rsidR="000A0F74" w:rsidRPr="008E7C92">
              <w:rPr>
                <w:rFonts w:eastAsia="標楷體" w:hint="eastAsia"/>
                <w:color w:val="000000" w:themeColor="text1"/>
              </w:rPr>
              <w:t xml:space="preserve"> </w:t>
            </w:r>
            <w:r w:rsidR="006575B9">
              <w:rPr>
                <w:rFonts w:eastAsia="標楷體"/>
                <w:color w:val="000000" w:themeColor="text1"/>
              </w:rPr>
              <w:br/>
            </w:r>
            <w:r w:rsidR="00734954" w:rsidRPr="006575B9">
              <w:rPr>
                <w:rFonts w:eastAsia="標楷體"/>
                <w:color w:val="000000" w:themeColor="text1"/>
                <w:sz w:val="20"/>
              </w:rPr>
              <w:t>Observations regarding t</w:t>
            </w:r>
            <w:r w:rsidR="00B70E64" w:rsidRPr="006575B9">
              <w:rPr>
                <w:rFonts w:eastAsia="標楷體"/>
                <w:color w:val="000000" w:themeColor="text1"/>
                <w:sz w:val="20"/>
              </w:rPr>
              <w:t xml:space="preserve">he </w:t>
            </w:r>
            <w:r w:rsidR="00E96A7E" w:rsidRPr="006575B9">
              <w:rPr>
                <w:rFonts w:eastAsia="標楷體"/>
                <w:color w:val="000000" w:themeColor="text1"/>
                <w:sz w:val="20"/>
              </w:rPr>
              <w:t xml:space="preserve">relationship between teaching objectives and </w:t>
            </w:r>
            <w:r w:rsidR="00582A98" w:rsidRPr="006575B9">
              <w:rPr>
                <w:rFonts w:eastAsia="標楷體"/>
                <w:color w:val="000000" w:themeColor="text1"/>
                <w:sz w:val="20"/>
              </w:rPr>
              <w:t>the resulting student learning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C0D" w14:textId="77777777" w:rsidR="00E51AA9" w:rsidRPr="008E7C92" w:rsidRDefault="00E51AA9" w:rsidP="007C4D8F">
            <w:pPr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</w:p>
          <w:p w14:paraId="26EA7DB4" w14:textId="77777777" w:rsidR="00E51AA9" w:rsidRPr="008E7C92" w:rsidRDefault="00E51AA9" w:rsidP="007C4D8F">
            <w:pPr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E7C92" w:rsidRPr="008E7C92" w14:paraId="68D04D7A" w14:textId="77777777" w:rsidTr="005208B7">
        <w:trPr>
          <w:trHeight w:hRule="exact" w:val="4989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57F2" w14:textId="6C6D5F4E" w:rsidR="008E7C92" w:rsidRPr="008E7C92" w:rsidRDefault="00E51AA9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E7C92">
              <w:rPr>
                <w:rFonts w:eastAsia="標楷體"/>
                <w:b/>
                <w:color w:val="000000" w:themeColor="text1"/>
                <w:szCs w:val="24"/>
              </w:rPr>
              <w:t>議課</w:t>
            </w:r>
          </w:p>
          <w:p w14:paraId="40124ABA" w14:textId="738A896F" w:rsidR="00E51AA9" w:rsidRPr="006D1AE7" w:rsidRDefault="00895754" w:rsidP="007C4D8F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6D1AE7">
              <w:rPr>
                <w:rFonts w:eastAsia="標楷體"/>
                <w:b/>
                <w:color w:val="000000" w:themeColor="text1"/>
                <w:sz w:val="20"/>
              </w:rPr>
              <w:t>Post</w:t>
            </w:r>
            <w:r w:rsidR="00BF0430" w:rsidRPr="006D1AE7">
              <w:rPr>
                <w:rFonts w:eastAsia="標楷體"/>
                <w:b/>
                <w:color w:val="000000" w:themeColor="text1"/>
                <w:sz w:val="20"/>
              </w:rPr>
              <w:t>-Class Discussion</w:t>
            </w:r>
          </w:p>
        </w:tc>
        <w:tc>
          <w:tcPr>
            <w:tcW w:w="43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1A2" w14:textId="068F70A2" w:rsidR="00E51AA9" w:rsidRPr="006D1AE7" w:rsidRDefault="00E51AA9" w:rsidP="007C4D8F">
            <w:pPr>
              <w:spacing w:line="300" w:lineRule="exact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8E7C92">
              <w:rPr>
                <w:rFonts w:eastAsia="標楷體"/>
                <w:b/>
                <w:color w:val="000000" w:themeColor="text1"/>
                <w:szCs w:val="24"/>
              </w:rPr>
              <w:t>觀課教師</w:t>
            </w:r>
            <w:proofErr w:type="gramEnd"/>
            <w:r w:rsidRPr="008E7C92">
              <w:rPr>
                <w:rFonts w:eastAsia="標楷體"/>
                <w:b/>
                <w:color w:val="000000" w:themeColor="text1"/>
                <w:szCs w:val="24"/>
              </w:rPr>
              <w:t>的學習與收穫</w:t>
            </w:r>
            <w:r w:rsidR="00831DC5" w:rsidRPr="006D1AE7">
              <w:rPr>
                <w:rFonts w:eastAsia="標楷體"/>
                <w:b/>
                <w:color w:val="000000" w:themeColor="text1"/>
                <w:sz w:val="20"/>
              </w:rPr>
              <w:t>Observing Teacher</w:t>
            </w:r>
            <w:proofErr w:type="gramStart"/>
            <w:r w:rsidR="00831DC5" w:rsidRPr="006D1AE7">
              <w:rPr>
                <w:rFonts w:eastAsia="標楷體"/>
                <w:b/>
                <w:color w:val="000000" w:themeColor="text1"/>
                <w:sz w:val="20"/>
              </w:rPr>
              <w:t>’</w:t>
            </w:r>
            <w:proofErr w:type="gramEnd"/>
            <w:r w:rsidR="00831DC5" w:rsidRPr="006D1AE7">
              <w:rPr>
                <w:rFonts w:eastAsia="標楷體"/>
                <w:b/>
                <w:color w:val="000000" w:themeColor="text1"/>
                <w:sz w:val="20"/>
              </w:rPr>
              <w:t>s Learning Reflection</w:t>
            </w:r>
          </w:p>
          <w:p w14:paraId="0A4A7216" w14:textId="77777777" w:rsidR="00E51AA9" w:rsidRPr="008E7C92" w:rsidRDefault="00E51AA9" w:rsidP="007C4D8F">
            <w:pPr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</w:p>
          <w:p w14:paraId="65076C3D" w14:textId="4C9E7F8C" w:rsidR="005208B7" w:rsidRDefault="005208B7" w:rsidP="007C4D8F">
            <w:pPr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</w:p>
          <w:p w14:paraId="432C29A3" w14:textId="77777777" w:rsidR="005208B7" w:rsidRPr="005208B7" w:rsidRDefault="005208B7" w:rsidP="005208B7">
            <w:pPr>
              <w:rPr>
                <w:rFonts w:eastAsia="標楷體"/>
                <w:szCs w:val="24"/>
              </w:rPr>
            </w:pPr>
          </w:p>
          <w:p w14:paraId="70C6F33A" w14:textId="77777777" w:rsidR="005208B7" w:rsidRPr="005208B7" w:rsidRDefault="005208B7" w:rsidP="005208B7">
            <w:pPr>
              <w:rPr>
                <w:rFonts w:eastAsia="標楷體"/>
                <w:szCs w:val="24"/>
              </w:rPr>
            </w:pPr>
          </w:p>
          <w:p w14:paraId="6384567D" w14:textId="77777777" w:rsidR="005208B7" w:rsidRPr="005208B7" w:rsidRDefault="005208B7" w:rsidP="005208B7">
            <w:pPr>
              <w:rPr>
                <w:rFonts w:eastAsia="標楷體"/>
                <w:szCs w:val="24"/>
              </w:rPr>
            </w:pPr>
          </w:p>
          <w:p w14:paraId="2A827CD7" w14:textId="45A03A22" w:rsidR="005208B7" w:rsidRDefault="005208B7" w:rsidP="005208B7">
            <w:pPr>
              <w:rPr>
                <w:rFonts w:eastAsia="標楷體"/>
                <w:szCs w:val="24"/>
              </w:rPr>
            </w:pPr>
          </w:p>
          <w:p w14:paraId="2EE2F13C" w14:textId="77777777" w:rsidR="005208B7" w:rsidRPr="005208B7" w:rsidRDefault="005208B7" w:rsidP="005208B7">
            <w:pPr>
              <w:rPr>
                <w:rFonts w:eastAsia="標楷體" w:hint="eastAsia"/>
                <w:szCs w:val="24"/>
              </w:rPr>
            </w:pPr>
          </w:p>
          <w:p w14:paraId="62891BF1" w14:textId="77777777" w:rsidR="005208B7" w:rsidRPr="005208B7" w:rsidRDefault="005208B7" w:rsidP="005208B7">
            <w:pPr>
              <w:rPr>
                <w:rFonts w:eastAsia="標楷體"/>
                <w:szCs w:val="24"/>
              </w:rPr>
            </w:pPr>
          </w:p>
          <w:p w14:paraId="7E4CA32A" w14:textId="1DF83D82" w:rsidR="005208B7" w:rsidRDefault="005208B7" w:rsidP="005208B7">
            <w:pPr>
              <w:rPr>
                <w:rFonts w:eastAsia="標楷體"/>
                <w:szCs w:val="24"/>
              </w:rPr>
            </w:pPr>
          </w:p>
          <w:p w14:paraId="575C6616" w14:textId="77777777" w:rsidR="005208B7" w:rsidRPr="005208B7" w:rsidRDefault="005208B7" w:rsidP="005208B7">
            <w:pPr>
              <w:rPr>
                <w:rFonts w:eastAsia="標楷體" w:hint="eastAsia"/>
                <w:szCs w:val="24"/>
              </w:rPr>
            </w:pPr>
          </w:p>
          <w:p w14:paraId="2BDC6290" w14:textId="77777777" w:rsidR="005208B7" w:rsidRPr="005208B7" w:rsidRDefault="005208B7" w:rsidP="005208B7">
            <w:pPr>
              <w:rPr>
                <w:rFonts w:eastAsia="標楷體"/>
                <w:szCs w:val="24"/>
              </w:rPr>
            </w:pPr>
          </w:p>
          <w:p w14:paraId="50A2A782" w14:textId="084A8391" w:rsidR="005208B7" w:rsidRDefault="005208B7" w:rsidP="005208B7">
            <w:pPr>
              <w:rPr>
                <w:rFonts w:eastAsia="標楷體"/>
                <w:szCs w:val="24"/>
              </w:rPr>
            </w:pPr>
          </w:p>
          <w:p w14:paraId="2DA5F57E" w14:textId="221C60D7" w:rsidR="005208B7" w:rsidRDefault="005208B7" w:rsidP="005208B7">
            <w:pPr>
              <w:rPr>
                <w:rFonts w:eastAsia="標楷體"/>
                <w:szCs w:val="24"/>
              </w:rPr>
            </w:pPr>
          </w:p>
          <w:p w14:paraId="35BBEC40" w14:textId="77777777" w:rsidR="005208B7" w:rsidRPr="005208B7" w:rsidRDefault="005208B7" w:rsidP="005208B7">
            <w:pPr>
              <w:rPr>
                <w:rFonts w:eastAsia="標楷體" w:hint="eastAsia"/>
                <w:szCs w:val="24"/>
              </w:rPr>
            </w:pPr>
          </w:p>
          <w:p w14:paraId="43B0D837" w14:textId="77777777" w:rsidR="005208B7" w:rsidRPr="005208B7" w:rsidRDefault="005208B7" w:rsidP="005208B7">
            <w:pPr>
              <w:rPr>
                <w:rFonts w:eastAsia="標楷體"/>
                <w:szCs w:val="24"/>
              </w:rPr>
            </w:pPr>
          </w:p>
          <w:p w14:paraId="7790028F" w14:textId="7AAE909C" w:rsidR="00E51AA9" w:rsidRPr="005208B7" w:rsidRDefault="005208B7" w:rsidP="005208B7">
            <w:pPr>
              <w:tabs>
                <w:tab w:val="left" w:pos="3327"/>
              </w:tabs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ab/>
            </w:r>
          </w:p>
        </w:tc>
      </w:tr>
    </w:tbl>
    <w:p w14:paraId="1A39420D" w14:textId="77777777" w:rsidR="00E51AA9" w:rsidRPr="008E7C92" w:rsidRDefault="00E51AA9" w:rsidP="006C14E9">
      <w:pPr>
        <w:widowControl/>
        <w:adjustRightInd/>
        <w:spacing w:line="240" w:lineRule="auto"/>
        <w:textAlignment w:val="auto"/>
        <w:rPr>
          <w:rFonts w:eastAsia="標楷體" w:hint="eastAsia"/>
          <w:b/>
          <w:color w:val="000000" w:themeColor="text1"/>
          <w:sz w:val="28"/>
          <w:szCs w:val="24"/>
        </w:rPr>
      </w:pPr>
    </w:p>
    <w:sectPr w:rsidR="00E51AA9" w:rsidRPr="008E7C92" w:rsidSect="005208B7">
      <w:footerReference w:type="default" r:id="rId7"/>
      <w:pgSz w:w="11906" w:h="16838"/>
      <w:pgMar w:top="720" w:right="720" w:bottom="720" w:left="720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6ECD3" w14:textId="77777777" w:rsidR="003C06F2" w:rsidRDefault="003C06F2" w:rsidP="002F1FCA">
      <w:pPr>
        <w:spacing w:line="240" w:lineRule="auto"/>
      </w:pPr>
      <w:r>
        <w:separator/>
      </w:r>
    </w:p>
  </w:endnote>
  <w:endnote w:type="continuationSeparator" w:id="0">
    <w:p w14:paraId="0EA8E860" w14:textId="77777777" w:rsidR="003C06F2" w:rsidRDefault="003C06F2" w:rsidP="002F1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6603"/>
      <w:docPartObj>
        <w:docPartGallery w:val="Page Numbers (Bottom of Page)"/>
        <w:docPartUnique/>
      </w:docPartObj>
    </w:sdtPr>
    <w:sdtEndPr/>
    <w:sdtContent>
      <w:p w14:paraId="3A5BBB8B" w14:textId="02B209DB" w:rsidR="002F1FCA" w:rsidRDefault="002F1FCA" w:rsidP="006D1AE7">
        <w:pPr>
          <w:pStyle w:val="a8"/>
          <w:jc w:val="center"/>
        </w:pPr>
        <w:r w:rsidRPr="002F1FCA">
          <w:rPr>
            <w:rFonts w:eastAsia="標楷體"/>
            <w:sz w:val="22"/>
            <w:szCs w:val="24"/>
          </w:rPr>
          <w:t>雙語課程</w:t>
        </w:r>
        <w:proofErr w:type="gramStart"/>
        <w:r w:rsidRPr="002F1FCA">
          <w:rPr>
            <w:rFonts w:eastAsia="標楷體"/>
            <w:sz w:val="22"/>
            <w:szCs w:val="24"/>
          </w:rPr>
          <w:t>說觀議課</w:t>
        </w:r>
        <w:proofErr w:type="gramEnd"/>
        <w:r w:rsidRPr="002F1FCA">
          <w:rPr>
            <w:rFonts w:eastAsia="標楷體"/>
            <w:sz w:val="22"/>
            <w:szCs w:val="24"/>
          </w:rPr>
          <w:t>紀錄</w:t>
        </w:r>
        <w:r w:rsidR="0001513B">
          <w:rPr>
            <w:rFonts w:eastAsia="標楷體" w:hint="eastAsia"/>
            <w:sz w:val="22"/>
            <w:szCs w:val="24"/>
          </w:rPr>
          <w:t>A</w:t>
        </w:r>
        <w:r w:rsidR="0001513B">
          <w:rPr>
            <w:rFonts w:eastAsia="標楷體" w:hint="eastAsia"/>
            <w:sz w:val="22"/>
            <w:szCs w:val="24"/>
          </w:rPr>
          <w:t>版</w:t>
        </w:r>
        <w:r w:rsidRPr="002F1FCA">
          <w:rPr>
            <w:rFonts w:eastAsia="標楷體" w:hint="eastAsia"/>
            <w:sz w:val="22"/>
            <w:szCs w:val="24"/>
          </w:rPr>
          <w:t>_</w:t>
        </w:r>
        <w:r w:rsidRPr="002F1FCA">
          <w:rPr>
            <w:rFonts w:eastAsia="標楷體"/>
            <w:color w:val="000000"/>
            <w:spacing w:val="-8"/>
            <w:sz w:val="22"/>
            <w:szCs w:val="27"/>
          </w:rPr>
          <w:t>本土雙語教育模式</w:t>
        </w:r>
        <w:r>
          <w:rPr>
            <w:rFonts w:eastAsia="標楷體" w:hint="eastAsia"/>
            <w:b/>
            <w:color w:val="000000"/>
            <w:spacing w:val="-8"/>
            <w:sz w:val="24"/>
            <w:szCs w:val="27"/>
          </w:rPr>
          <w:t xml:space="preserve"> </w:t>
        </w:r>
        <w:r>
          <w:t xml:space="preserve">p.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208B7" w:rsidRPr="005208B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E72AF" w14:textId="77777777" w:rsidR="003C06F2" w:rsidRDefault="003C06F2" w:rsidP="002F1FCA">
      <w:pPr>
        <w:spacing w:line="240" w:lineRule="auto"/>
      </w:pPr>
      <w:r>
        <w:separator/>
      </w:r>
    </w:p>
  </w:footnote>
  <w:footnote w:type="continuationSeparator" w:id="0">
    <w:p w14:paraId="2F952890" w14:textId="77777777" w:rsidR="003C06F2" w:rsidRDefault="003C06F2" w:rsidP="002F1F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E2D"/>
    <w:multiLevelType w:val="hybridMultilevel"/>
    <w:tmpl w:val="2D3E1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56C5B"/>
    <w:multiLevelType w:val="hybridMultilevel"/>
    <w:tmpl w:val="6AFA5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A05008"/>
    <w:multiLevelType w:val="hybridMultilevel"/>
    <w:tmpl w:val="31D2A62E"/>
    <w:lvl w:ilvl="0" w:tplc="A1A24B2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4D198C"/>
    <w:multiLevelType w:val="hybridMultilevel"/>
    <w:tmpl w:val="2D3E1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C73F52"/>
    <w:multiLevelType w:val="hybridMultilevel"/>
    <w:tmpl w:val="2D3E1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E94809"/>
    <w:multiLevelType w:val="hybridMultilevel"/>
    <w:tmpl w:val="2D3E1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8A117C"/>
    <w:multiLevelType w:val="hybridMultilevel"/>
    <w:tmpl w:val="05C808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896B708">
      <w:start w:val="2"/>
      <w:numFmt w:val="taiwaneseCountingThousand"/>
      <w:lvlText w:val="%2、"/>
      <w:lvlJc w:val="left"/>
      <w:pPr>
        <w:ind w:left="12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7" w15:restartNumberingAfterBreak="0">
    <w:nsid w:val="62F80687"/>
    <w:multiLevelType w:val="hybridMultilevel"/>
    <w:tmpl w:val="AA8C39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7E6F2E"/>
    <w:multiLevelType w:val="hybridMultilevel"/>
    <w:tmpl w:val="2D3E1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A9"/>
    <w:rsid w:val="00005B31"/>
    <w:rsid w:val="0001513B"/>
    <w:rsid w:val="000611EC"/>
    <w:rsid w:val="00062977"/>
    <w:rsid w:val="00070988"/>
    <w:rsid w:val="00091303"/>
    <w:rsid w:val="000A0F74"/>
    <w:rsid w:val="000A258B"/>
    <w:rsid w:val="000B000E"/>
    <w:rsid w:val="000C6B42"/>
    <w:rsid w:val="000D794F"/>
    <w:rsid w:val="00105E08"/>
    <w:rsid w:val="001546AF"/>
    <w:rsid w:val="00155FB1"/>
    <w:rsid w:val="00157D07"/>
    <w:rsid w:val="00181EC7"/>
    <w:rsid w:val="00197062"/>
    <w:rsid w:val="001970B2"/>
    <w:rsid w:val="001A0611"/>
    <w:rsid w:val="001B0AE0"/>
    <w:rsid w:val="001D2B0F"/>
    <w:rsid w:val="001E76BD"/>
    <w:rsid w:val="001F5AF6"/>
    <w:rsid w:val="00216630"/>
    <w:rsid w:val="0023036A"/>
    <w:rsid w:val="002432D0"/>
    <w:rsid w:val="00262E8E"/>
    <w:rsid w:val="00273106"/>
    <w:rsid w:val="00273F76"/>
    <w:rsid w:val="0027520A"/>
    <w:rsid w:val="00295ACA"/>
    <w:rsid w:val="002A0EC7"/>
    <w:rsid w:val="002E2A13"/>
    <w:rsid w:val="002F1FCA"/>
    <w:rsid w:val="0032255F"/>
    <w:rsid w:val="00323DA7"/>
    <w:rsid w:val="003467D8"/>
    <w:rsid w:val="0036602D"/>
    <w:rsid w:val="003A5BFA"/>
    <w:rsid w:val="003B17C2"/>
    <w:rsid w:val="003B3634"/>
    <w:rsid w:val="003C06F2"/>
    <w:rsid w:val="003D3BAD"/>
    <w:rsid w:val="0040059F"/>
    <w:rsid w:val="004350C9"/>
    <w:rsid w:val="00452F8A"/>
    <w:rsid w:val="0046191C"/>
    <w:rsid w:val="00463F9A"/>
    <w:rsid w:val="004A037C"/>
    <w:rsid w:val="004A4F0B"/>
    <w:rsid w:val="004B4E19"/>
    <w:rsid w:val="005166BB"/>
    <w:rsid w:val="005208B7"/>
    <w:rsid w:val="00554A11"/>
    <w:rsid w:val="005612C0"/>
    <w:rsid w:val="00582A98"/>
    <w:rsid w:val="00591918"/>
    <w:rsid w:val="005A5905"/>
    <w:rsid w:val="005F1505"/>
    <w:rsid w:val="00614C5D"/>
    <w:rsid w:val="00631213"/>
    <w:rsid w:val="006575B9"/>
    <w:rsid w:val="00673CDA"/>
    <w:rsid w:val="00683D44"/>
    <w:rsid w:val="0068423F"/>
    <w:rsid w:val="00694507"/>
    <w:rsid w:val="006C14E9"/>
    <w:rsid w:val="006D1AE7"/>
    <w:rsid w:val="006D7143"/>
    <w:rsid w:val="00712E43"/>
    <w:rsid w:val="00734954"/>
    <w:rsid w:val="00763221"/>
    <w:rsid w:val="00791850"/>
    <w:rsid w:val="00795AF3"/>
    <w:rsid w:val="007C4D8F"/>
    <w:rsid w:val="007C7942"/>
    <w:rsid w:val="007E6FFA"/>
    <w:rsid w:val="007F4351"/>
    <w:rsid w:val="00831DC5"/>
    <w:rsid w:val="0083791B"/>
    <w:rsid w:val="0086300C"/>
    <w:rsid w:val="00895754"/>
    <w:rsid w:val="008A6AD3"/>
    <w:rsid w:val="008B3A0C"/>
    <w:rsid w:val="008D00FE"/>
    <w:rsid w:val="008E4B7B"/>
    <w:rsid w:val="008E7C92"/>
    <w:rsid w:val="008F5501"/>
    <w:rsid w:val="00902B91"/>
    <w:rsid w:val="00912991"/>
    <w:rsid w:val="00947265"/>
    <w:rsid w:val="00996F3B"/>
    <w:rsid w:val="009C1821"/>
    <w:rsid w:val="009D06A9"/>
    <w:rsid w:val="009D1498"/>
    <w:rsid w:val="00A04E89"/>
    <w:rsid w:val="00A2086D"/>
    <w:rsid w:val="00A24AD1"/>
    <w:rsid w:val="00A3151B"/>
    <w:rsid w:val="00A31C0B"/>
    <w:rsid w:val="00A466C7"/>
    <w:rsid w:val="00A9669F"/>
    <w:rsid w:val="00AB5779"/>
    <w:rsid w:val="00AC3609"/>
    <w:rsid w:val="00AE2D37"/>
    <w:rsid w:val="00AF18A3"/>
    <w:rsid w:val="00B07AFD"/>
    <w:rsid w:val="00B70E64"/>
    <w:rsid w:val="00BA2AA0"/>
    <w:rsid w:val="00BD5CCC"/>
    <w:rsid w:val="00BE26D9"/>
    <w:rsid w:val="00BF028B"/>
    <w:rsid w:val="00BF0430"/>
    <w:rsid w:val="00BF1A71"/>
    <w:rsid w:val="00C048C9"/>
    <w:rsid w:val="00C14208"/>
    <w:rsid w:val="00C475DE"/>
    <w:rsid w:val="00C66231"/>
    <w:rsid w:val="00CD2AAA"/>
    <w:rsid w:val="00CD4D8F"/>
    <w:rsid w:val="00D70047"/>
    <w:rsid w:val="00D74325"/>
    <w:rsid w:val="00DC2865"/>
    <w:rsid w:val="00E00010"/>
    <w:rsid w:val="00E03D74"/>
    <w:rsid w:val="00E06EB3"/>
    <w:rsid w:val="00E36BEE"/>
    <w:rsid w:val="00E51AA9"/>
    <w:rsid w:val="00E82AED"/>
    <w:rsid w:val="00E849FA"/>
    <w:rsid w:val="00E96A7E"/>
    <w:rsid w:val="00F27E60"/>
    <w:rsid w:val="00F66CD5"/>
    <w:rsid w:val="00F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CA987"/>
  <w15:chartTrackingRefBased/>
  <w15:docId w15:val="{4B685E6E-BD9B-4095-9D29-19D7C580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A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1AA9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  <w:style w:type="character" w:customStyle="1" w:styleId="a4">
    <w:name w:val="清單段落 字元"/>
    <w:link w:val="a3"/>
    <w:uiPriority w:val="34"/>
    <w:locked/>
    <w:rsid w:val="00E51AA9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E5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1F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2F1FC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1F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2F1FC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09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098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Huahua Lin</dc:creator>
  <cp:keywords/>
  <dc:description/>
  <cp:lastModifiedBy>LLin_2023</cp:lastModifiedBy>
  <cp:revision>20</cp:revision>
  <cp:lastPrinted>2023-04-13T04:19:00Z</cp:lastPrinted>
  <dcterms:created xsi:type="dcterms:W3CDTF">2023-04-13T04:04:00Z</dcterms:created>
  <dcterms:modified xsi:type="dcterms:W3CDTF">2023-04-13T09:35:00Z</dcterms:modified>
</cp:coreProperties>
</file>